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B5" w:rsidRPr="006A47B5" w:rsidRDefault="006A47B5" w:rsidP="006A47B5">
      <w:pPr>
        <w:shd w:val="clear" w:color="auto" w:fill="FFFFFF"/>
        <w:spacing w:after="300" w:line="494" w:lineRule="atLeast"/>
        <w:textAlignment w:val="baseline"/>
        <w:outlineLvl w:val="0"/>
        <w:rPr>
          <w:rFonts w:ascii="inherit" w:eastAsia="Times New Roman" w:hAnsi="inherit" w:cs="Helvetica"/>
          <w:b/>
          <w:bCs/>
          <w:color w:val="534C4C"/>
          <w:kern w:val="36"/>
          <w:sz w:val="38"/>
          <w:szCs w:val="38"/>
        </w:rPr>
      </w:pPr>
      <w:r w:rsidRPr="006A47B5">
        <w:rPr>
          <w:rFonts w:ascii="inherit" w:eastAsia="Times New Roman" w:hAnsi="inherit" w:cs="Helvetica"/>
          <w:b/>
          <w:bCs/>
          <w:color w:val="534C4C"/>
          <w:kern w:val="36"/>
          <w:sz w:val="38"/>
          <w:szCs w:val="38"/>
        </w:rPr>
        <w:t>Ozone Tackles Groundwater Contamination</w:t>
      </w:r>
    </w:p>
    <w:p w:rsidR="006A47B5" w:rsidRPr="006A47B5" w:rsidRDefault="006A47B5" w:rsidP="006A47B5">
      <w:pPr>
        <w:shd w:val="clear" w:color="auto" w:fill="FFFFFF"/>
        <w:spacing w:after="300" w:line="215" w:lineRule="atLeast"/>
        <w:textAlignment w:val="baseline"/>
        <w:outlineLvl w:val="1"/>
        <w:rPr>
          <w:rFonts w:ascii="inherit" w:eastAsia="Times New Roman" w:hAnsi="inherit" w:cs="Helvetica"/>
          <w:b/>
          <w:bCs/>
          <w:caps/>
          <w:color w:val="989999"/>
          <w:sz w:val="17"/>
          <w:szCs w:val="17"/>
        </w:rPr>
      </w:pPr>
      <w:r w:rsidRPr="006A47B5">
        <w:rPr>
          <w:rFonts w:ascii="inherit" w:eastAsia="Times New Roman" w:hAnsi="inherit" w:cs="Helvetica"/>
          <w:b/>
          <w:bCs/>
          <w:caps/>
          <w:color w:val="989999"/>
          <w:sz w:val="17"/>
          <w:szCs w:val="17"/>
        </w:rPr>
        <w:t>BY:</w:t>
      </w:r>
    </w:p>
    <w:p w:rsidR="006A47B5" w:rsidRPr="006A47B5" w:rsidRDefault="006A47B5" w:rsidP="006A47B5">
      <w:pPr>
        <w:shd w:val="clear" w:color="auto" w:fill="FFFFFF"/>
        <w:spacing w:after="0" w:line="270" w:lineRule="atLeast"/>
        <w:textAlignment w:val="baseline"/>
        <w:rPr>
          <w:rFonts w:ascii="Helvetica" w:eastAsia="Times New Roman" w:hAnsi="Helvetica" w:cs="Helvetica"/>
          <w:b/>
          <w:bCs/>
          <w:caps/>
          <w:color w:val="989999"/>
          <w:sz w:val="17"/>
          <w:szCs w:val="17"/>
        </w:rPr>
      </w:pPr>
      <w:r w:rsidRPr="006A47B5">
        <w:rPr>
          <w:rFonts w:ascii="Helvetica" w:eastAsia="Times New Roman" w:hAnsi="Helvetica" w:cs="Helvetica"/>
          <w:b/>
          <w:bCs/>
          <w:caps/>
          <w:color w:val="989999"/>
          <w:sz w:val="17"/>
          <w:szCs w:val="17"/>
        </w:rPr>
        <w:t> </w:t>
      </w:r>
    </w:p>
    <w:p w:rsidR="006A47B5" w:rsidRPr="006A47B5" w:rsidRDefault="006A47B5" w:rsidP="006A47B5">
      <w:pPr>
        <w:shd w:val="clear" w:color="auto" w:fill="FFFFFF"/>
        <w:spacing w:after="150" w:line="270" w:lineRule="atLeast"/>
        <w:textAlignment w:val="baseline"/>
        <w:rPr>
          <w:rFonts w:ascii="inherit" w:eastAsia="Times New Roman" w:hAnsi="inherit" w:cs="Helvetica"/>
          <w:b/>
          <w:bCs/>
          <w:caps/>
          <w:color w:val="989999"/>
          <w:sz w:val="17"/>
          <w:szCs w:val="17"/>
        </w:rPr>
      </w:pPr>
      <w:r w:rsidRPr="006A47B5">
        <w:rPr>
          <w:rFonts w:ascii="inherit" w:eastAsia="Times New Roman" w:hAnsi="inherit" w:cs="Helvetica"/>
          <w:b/>
          <w:bCs/>
          <w:caps/>
          <w:color w:val="989999"/>
          <w:sz w:val="17"/>
          <w:szCs w:val="17"/>
        </w:rPr>
        <w:t>BY KEN CASTRO</w:t>
      </w:r>
    </w:p>
    <w:p w:rsidR="006A47B5" w:rsidRPr="006A47B5" w:rsidRDefault="006A47B5" w:rsidP="006A47B5">
      <w:pPr>
        <w:shd w:val="clear" w:color="auto" w:fill="FFFFFF"/>
        <w:spacing w:after="0" w:line="270" w:lineRule="atLeast"/>
        <w:textAlignment w:val="baseline"/>
        <w:rPr>
          <w:rFonts w:ascii="inherit" w:eastAsia="Times New Roman" w:hAnsi="inherit" w:cs="Helvetica"/>
          <w:color w:val="534C4C"/>
          <w:sz w:val="18"/>
          <w:szCs w:val="18"/>
        </w:rPr>
      </w:pPr>
      <w:hyperlink r:id="rId6" w:tooltip="Display a printer-friendly version of this page." w:history="1">
        <w:r w:rsidRPr="006A47B5">
          <w:rPr>
            <w:rFonts w:ascii="inherit" w:eastAsia="Times New Roman" w:hAnsi="inherit" w:cs="Helvetica"/>
            <w:b/>
            <w:bCs/>
            <w:color w:val="004092"/>
            <w:sz w:val="18"/>
            <w:szCs w:val="18"/>
            <w:u w:val="single"/>
            <w:bdr w:val="none" w:sz="0" w:space="0" w:color="auto" w:frame="1"/>
          </w:rPr>
          <w:t>Printer-friendly version</w:t>
        </w:r>
      </w:hyperlink>
    </w:p>
    <w:p w:rsidR="006A47B5" w:rsidRPr="006A47B5" w:rsidRDefault="006A47B5" w:rsidP="006A47B5">
      <w:pPr>
        <w:shd w:val="clear" w:color="auto" w:fill="FFFFFF"/>
        <w:spacing w:after="150" w:line="270" w:lineRule="atLeast"/>
        <w:textAlignment w:val="baseline"/>
        <w:rPr>
          <w:rFonts w:ascii="inherit" w:eastAsia="Times New Roman" w:hAnsi="inherit" w:cs="Helvetica"/>
          <w:color w:val="534C4C"/>
          <w:sz w:val="18"/>
          <w:szCs w:val="18"/>
        </w:rPr>
      </w:pPr>
      <w:hyperlink r:id="rId7" w:history="1">
        <w:proofErr w:type="spellStart"/>
        <w:proofErr w:type="gramStart"/>
        <w:r w:rsidRPr="006A47B5">
          <w:rPr>
            <w:rFonts w:ascii="inherit" w:eastAsia="Times New Roman" w:hAnsi="inherit" w:cs="Helvetica"/>
            <w:b/>
            <w:bCs/>
            <w:color w:val="004092"/>
            <w:sz w:val="18"/>
            <w:szCs w:val="18"/>
            <w:u w:val="single"/>
            <w:bdr w:val="none" w:sz="0" w:space="0" w:color="auto" w:frame="1"/>
          </w:rPr>
          <w:t>inShare</w:t>
        </w:r>
        <w:proofErr w:type="spellEnd"/>
        <w:proofErr w:type="gramEnd"/>
      </w:hyperlink>
      <w:r w:rsidRPr="006A47B5">
        <w:rPr>
          <w:rFonts w:ascii="inherit" w:eastAsia="Times New Roman" w:hAnsi="inherit" w:cs="Helvetica"/>
          <w:color w:val="534C4C"/>
          <w:sz w:val="18"/>
          <w:szCs w:val="18"/>
        </w:rPr>
        <w:t> </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xml:space="preserve">Water, water, </w:t>
      </w:r>
      <w:proofErr w:type="spellStart"/>
      <w:r w:rsidRPr="006A47B5">
        <w:rPr>
          <w:rFonts w:ascii="inherit" w:eastAsia="Times New Roman" w:hAnsi="inherit" w:cs="Helvetica"/>
          <w:color w:val="534C4C"/>
          <w:sz w:val="18"/>
          <w:szCs w:val="18"/>
        </w:rPr>
        <w:t>every where</w:t>
      </w:r>
      <w:proofErr w:type="spellEnd"/>
      <w:r w:rsidRPr="006A47B5">
        <w:rPr>
          <w:rFonts w:ascii="inherit" w:eastAsia="Times New Roman" w:hAnsi="inherit" w:cs="Helvetica"/>
          <w:color w:val="534C4C"/>
          <w:sz w:val="18"/>
          <w:szCs w:val="18"/>
        </w:rPr>
        <w:t xml:space="preserve">, </w:t>
      </w:r>
      <w:proofErr w:type="gramStart"/>
      <w:r w:rsidRPr="006A47B5">
        <w:rPr>
          <w:rFonts w:ascii="inherit" w:eastAsia="Times New Roman" w:hAnsi="inherit" w:cs="Helvetica"/>
          <w:color w:val="534C4C"/>
          <w:sz w:val="18"/>
          <w:szCs w:val="18"/>
        </w:rPr>
        <w:t>And</w:t>
      </w:r>
      <w:proofErr w:type="gramEnd"/>
      <w:r w:rsidRPr="006A47B5">
        <w:rPr>
          <w:rFonts w:ascii="inherit" w:eastAsia="Times New Roman" w:hAnsi="inherit" w:cs="Helvetica"/>
          <w:color w:val="534C4C"/>
          <w:sz w:val="18"/>
          <w:szCs w:val="18"/>
        </w:rPr>
        <w:t xml:space="preserve"> all the boards did shrink; Water, water, </w:t>
      </w:r>
      <w:proofErr w:type="spellStart"/>
      <w:r w:rsidRPr="006A47B5">
        <w:rPr>
          <w:rFonts w:ascii="inherit" w:eastAsia="Times New Roman" w:hAnsi="inherit" w:cs="Helvetica"/>
          <w:color w:val="534C4C"/>
          <w:sz w:val="18"/>
          <w:szCs w:val="18"/>
        </w:rPr>
        <w:t>every where</w:t>
      </w:r>
      <w:proofErr w:type="spellEnd"/>
      <w:r w:rsidRPr="006A47B5">
        <w:rPr>
          <w:rFonts w:ascii="inherit" w:eastAsia="Times New Roman" w:hAnsi="inherit" w:cs="Helvetica"/>
          <w:color w:val="534C4C"/>
          <w:sz w:val="18"/>
          <w:szCs w:val="18"/>
        </w:rPr>
        <w:t>, Nor any drop to drink.”</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This well-known phrase from The Rime of the Ancient Mariner by Samuel Taylor Coleridge refers to the frustrations of ancient mariners surrounded by water unfit to drink. Originally published in 1798, it rings truer than ever today, and those same sentiments are now increasingly being voiced by landsmen as well. The purity of groundwater can no longer be taken for granted, and ozone is playing its part to keep our groundwater safe.</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w:t>
      </w:r>
    </w:p>
    <w:p w:rsidR="006A47B5" w:rsidRPr="006A47B5" w:rsidRDefault="006A47B5" w:rsidP="006A47B5">
      <w:pPr>
        <w:shd w:val="clear" w:color="auto" w:fill="FFFFFF"/>
        <w:spacing w:after="0" w:line="270" w:lineRule="atLeast"/>
        <w:textAlignment w:val="baseline"/>
        <w:outlineLvl w:val="1"/>
        <w:rPr>
          <w:rFonts w:ascii="inherit" w:eastAsia="Times New Roman" w:hAnsi="inherit" w:cs="Helvetica"/>
          <w:b/>
          <w:bCs/>
          <w:color w:val="534C4C"/>
          <w:sz w:val="36"/>
          <w:szCs w:val="36"/>
        </w:rPr>
      </w:pPr>
      <w:r w:rsidRPr="006A47B5">
        <w:rPr>
          <w:rFonts w:ascii="inherit" w:eastAsia="Times New Roman" w:hAnsi="inherit" w:cs="Helvetica"/>
          <w:b/>
          <w:bCs/>
          <w:color w:val="534C4C"/>
          <w:sz w:val="36"/>
          <w:szCs w:val="36"/>
        </w:rPr>
        <w:t>Groundwater Contamination</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There are many causes of increased groundwater contamination, but one of the most insidious is Methyl tertiary-butyl ether (MTBE). MTBE is almost exclusively used as a fuel component in gasoline. It is one of a group of chemicals commonly known as oxygenates because they raise the oxygen content of gasoline. In the U.S. it has been used in gasoline at low levels since 1979 to increase its octane rating and help prevent engine knocking.</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In 1995 high levels of MTBE were unexpectedly discovered in the water wells of Santa Monica, Calif. and subsequent U.S. findings indicated tens of thousands of contaminated sites in water wells across the country.</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The International Agency for Research on Cancer, a part of the World Health Organization, maintains that MTBE cannot be classified as a human carcinogen; however, exposure to high levels of MTBE has significant non- cancer-related health risks. Although the extent of MTBE as a health risk is debatable, a transparent disadvantage is that MTBE ruins the taste of water even at low concentrations of 5 to 15 mg/L. As a result, significant concentrations of MTBE in drinking water are immediately detectable.</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w:t>
      </w:r>
    </w:p>
    <w:p w:rsidR="006A47B5" w:rsidRPr="006A47B5" w:rsidRDefault="006A47B5" w:rsidP="006A47B5">
      <w:pPr>
        <w:shd w:val="clear" w:color="auto" w:fill="FFFFFF"/>
        <w:spacing w:after="0" w:line="270" w:lineRule="atLeast"/>
        <w:textAlignment w:val="baseline"/>
        <w:outlineLvl w:val="1"/>
        <w:rPr>
          <w:rFonts w:ascii="inherit" w:eastAsia="Times New Roman" w:hAnsi="inherit" w:cs="Helvetica"/>
          <w:b/>
          <w:bCs/>
          <w:color w:val="534C4C"/>
          <w:sz w:val="36"/>
          <w:szCs w:val="36"/>
        </w:rPr>
      </w:pPr>
      <w:r w:rsidRPr="006A47B5">
        <w:rPr>
          <w:rFonts w:ascii="inherit" w:eastAsia="Times New Roman" w:hAnsi="inherit" w:cs="Helvetica"/>
          <w:b/>
          <w:bCs/>
          <w:color w:val="534C4C"/>
          <w:sz w:val="36"/>
          <w:szCs w:val="36"/>
        </w:rPr>
        <w:t>Treatment</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Ozone has been used for many years in the treatment and removal of chemical contaminants in industrial wastewater, so it is not surprising that ozone would be enlisted to combat the growing problem of MTBE groundwater contamination. Ozone is a relatively unstable molecule comprised of three oxygen atoms. This instability means that it has a short lifespan and degrades rapidly in the environment, which makes ozone ideal for environmental remediation of contaminants.</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xml:space="preserve">Ozone can be introduced to the subsurface water as either a gas (ozone </w:t>
      </w:r>
      <w:proofErr w:type="spellStart"/>
      <w:r w:rsidRPr="006A47B5">
        <w:rPr>
          <w:rFonts w:ascii="inherit" w:eastAsia="Times New Roman" w:hAnsi="inherit" w:cs="Helvetica"/>
          <w:color w:val="534C4C"/>
          <w:sz w:val="18"/>
          <w:szCs w:val="18"/>
        </w:rPr>
        <w:t>sparging</w:t>
      </w:r>
      <w:proofErr w:type="spellEnd"/>
      <w:r w:rsidRPr="006A47B5">
        <w:rPr>
          <w:rFonts w:ascii="inherit" w:eastAsia="Times New Roman" w:hAnsi="inherit" w:cs="Helvetica"/>
          <w:color w:val="534C4C"/>
          <w:sz w:val="18"/>
          <w:szCs w:val="18"/>
        </w:rPr>
        <w:t xml:space="preserve">) or a liquid (dissolved ozone injection). In its gas phase, ozone is typically introduced to the subsurface water through traditional air </w:t>
      </w:r>
      <w:proofErr w:type="spellStart"/>
      <w:r w:rsidRPr="006A47B5">
        <w:rPr>
          <w:rFonts w:ascii="inherit" w:eastAsia="Times New Roman" w:hAnsi="inherit" w:cs="Helvetica"/>
          <w:color w:val="534C4C"/>
          <w:sz w:val="18"/>
          <w:szCs w:val="18"/>
        </w:rPr>
        <w:t>sparge</w:t>
      </w:r>
      <w:proofErr w:type="spellEnd"/>
      <w:r w:rsidRPr="006A47B5">
        <w:rPr>
          <w:rFonts w:ascii="inherit" w:eastAsia="Times New Roman" w:hAnsi="inherit" w:cs="Helvetica"/>
          <w:color w:val="534C4C"/>
          <w:sz w:val="18"/>
          <w:szCs w:val="18"/>
        </w:rPr>
        <w:t xml:space="preserve"> wells. In its liquid phase, ozone </w:t>
      </w:r>
      <w:r w:rsidRPr="006A47B5">
        <w:rPr>
          <w:rFonts w:ascii="inherit" w:eastAsia="Times New Roman" w:hAnsi="inherit" w:cs="Helvetica"/>
          <w:color w:val="534C4C"/>
          <w:sz w:val="18"/>
          <w:szCs w:val="18"/>
        </w:rPr>
        <w:lastRenderedPageBreak/>
        <w:t>dissolved in water is typically injected to the subsurface through injection wells, trenches or infiltration galleries. When ozone is dissolved in groundwater, the groundwater itself becomes a remediation agent. Dissolved ozone directly destroys the MTBE by chemically reacting with it to break the compound down into carbon dioxide and water, which obviously do not present a threat to human health or the environment. In addition, unreacted ozone will degrade to dissolved oxygen to enhance natural biodegradation of residual contaminants.</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w:t>
      </w:r>
    </w:p>
    <w:p w:rsidR="006A47B5" w:rsidRPr="006A47B5" w:rsidRDefault="006A47B5" w:rsidP="006A47B5">
      <w:pPr>
        <w:shd w:val="clear" w:color="auto" w:fill="FFFFFF"/>
        <w:spacing w:after="0" w:line="270" w:lineRule="atLeast"/>
        <w:textAlignment w:val="baseline"/>
        <w:outlineLvl w:val="1"/>
        <w:rPr>
          <w:rFonts w:ascii="inherit" w:eastAsia="Times New Roman" w:hAnsi="inherit" w:cs="Helvetica"/>
          <w:b/>
          <w:bCs/>
          <w:color w:val="534C4C"/>
          <w:sz w:val="36"/>
          <w:szCs w:val="36"/>
        </w:rPr>
      </w:pPr>
      <w:r w:rsidRPr="006A47B5">
        <w:rPr>
          <w:rFonts w:ascii="inherit" w:eastAsia="Times New Roman" w:hAnsi="inherit" w:cs="Helvetica"/>
          <w:b/>
          <w:bCs/>
          <w:color w:val="534C4C"/>
          <w:sz w:val="36"/>
          <w:szCs w:val="36"/>
        </w:rPr>
        <w:t>Pilot Study</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xml:space="preserve">A pilot study to evaluate the efficacy of ozone </w:t>
      </w:r>
      <w:proofErr w:type="spellStart"/>
      <w:r w:rsidRPr="006A47B5">
        <w:rPr>
          <w:rFonts w:ascii="inherit" w:eastAsia="Times New Roman" w:hAnsi="inherit" w:cs="Helvetica"/>
          <w:color w:val="534C4C"/>
          <w:sz w:val="18"/>
          <w:szCs w:val="18"/>
        </w:rPr>
        <w:t>sparging</w:t>
      </w:r>
      <w:proofErr w:type="spellEnd"/>
      <w:r w:rsidRPr="006A47B5">
        <w:rPr>
          <w:rFonts w:ascii="inherit" w:eastAsia="Times New Roman" w:hAnsi="inherit" w:cs="Helvetica"/>
          <w:color w:val="534C4C"/>
          <w:sz w:val="18"/>
          <w:szCs w:val="18"/>
        </w:rPr>
        <w:t xml:space="preserve"> systems for the treatment of MTBE-impacted groundwater was conducted at a gasoline spill site in Long Island, N.Y. Two ozone-air </w:t>
      </w:r>
      <w:proofErr w:type="spellStart"/>
      <w:r w:rsidRPr="006A47B5">
        <w:rPr>
          <w:rFonts w:ascii="inherit" w:eastAsia="Times New Roman" w:hAnsi="inherit" w:cs="Helvetica"/>
          <w:color w:val="534C4C"/>
          <w:sz w:val="18"/>
          <w:szCs w:val="18"/>
        </w:rPr>
        <w:t>sparge</w:t>
      </w:r>
      <w:proofErr w:type="spellEnd"/>
      <w:r w:rsidRPr="006A47B5">
        <w:rPr>
          <w:rFonts w:ascii="inherit" w:eastAsia="Times New Roman" w:hAnsi="inherit" w:cs="Helvetica"/>
          <w:color w:val="534C4C"/>
          <w:sz w:val="18"/>
          <w:szCs w:val="18"/>
        </w:rPr>
        <w:t xml:space="preserve"> points were installed at different depths in a single borehole to maximize the conical diffusion of the gases in the medium-to coarse-grain sand aquifer. Monitoring wells were installed at 12 and 28 </w:t>
      </w:r>
      <w:proofErr w:type="spellStart"/>
      <w:r w:rsidRPr="006A47B5">
        <w:rPr>
          <w:rFonts w:ascii="inherit" w:eastAsia="Times New Roman" w:hAnsi="inherit" w:cs="Helvetica"/>
          <w:color w:val="534C4C"/>
          <w:sz w:val="18"/>
          <w:szCs w:val="18"/>
        </w:rPr>
        <w:t>ft</w:t>
      </w:r>
      <w:proofErr w:type="spellEnd"/>
      <w:r w:rsidRPr="006A47B5">
        <w:rPr>
          <w:rFonts w:ascii="inherit" w:eastAsia="Times New Roman" w:hAnsi="inherit" w:cs="Helvetica"/>
          <w:color w:val="534C4C"/>
          <w:sz w:val="18"/>
          <w:szCs w:val="18"/>
        </w:rPr>
        <w:t xml:space="preserve"> down gradient of the </w:t>
      </w:r>
      <w:proofErr w:type="spellStart"/>
      <w:r w:rsidRPr="006A47B5">
        <w:rPr>
          <w:rFonts w:ascii="inherit" w:eastAsia="Times New Roman" w:hAnsi="inherit" w:cs="Helvetica"/>
          <w:color w:val="534C4C"/>
          <w:sz w:val="18"/>
          <w:szCs w:val="18"/>
        </w:rPr>
        <w:t>sparge</w:t>
      </w:r>
      <w:proofErr w:type="spellEnd"/>
      <w:r w:rsidRPr="006A47B5">
        <w:rPr>
          <w:rFonts w:ascii="inherit" w:eastAsia="Times New Roman" w:hAnsi="inherit" w:cs="Helvetica"/>
          <w:color w:val="534C4C"/>
          <w:sz w:val="18"/>
          <w:szCs w:val="18"/>
        </w:rPr>
        <w:t xml:space="preserve"> points to measure the magnitude of hydraulic effect and to monitor changes in groundwater quality resulting from addition of ozone and air.</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xml:space="preserve">Pressure data from down-hole transducers and measurements of dissolved oxygen in groundwater were used to evaluate the area of influence of the </w:t>
      </w:r>
      <w:proofErr w:type="spellStart"/>
      <w:r w:rsidRPr="006A47B5">
        <w:rPr>
          <w:rFonts w:ascii="inherit" w:eastAsia="Times New Roman" w:hAnsi="inherit" w:cs="Helvetica"/>
          <w:color w:val="534C4C"/>
          <w:sz w:val="18"/>
          <w:szCs w:val="18"/>
        </w:rPr>
        <w:t>sparging</w:t>
      </w:r>
      <w:proofErr w:type="spellEnd"/>
      <w:r w:rsidRPr="006A47B5">
        <w:rPr>
          <w:rFonts w:ascii="inherit" w:eastAsia="Times New Roman" w:hAnsi="inherit" w:cs="Helvetica"/>
          <w:color w:val="534C4C"/>
          <w:sz w:val="18"/>
          <w:szCs w:val="18"/>
        </w:rPr>
        <w:t xml:space="preserve"> system. Data confirmed that the ozone </w:t>
      </w:r>
      <w:proofErr w:type="spellStart"/>
      <w:r w:rsidRPr="006A47B5">
        <w:rPr>
          <w:rFonts w:ascii="inherit" w:eastAsia="Times New Roman" w:hAnsi="inherit" w:cs="Helvetica"/>
          <w:color w:val="534C4C"/>
          <w:sz w:val="18"/>
          <w:szCs w:val="18"/>
        </w:rPr>
        <w:t>sparge</w:t>
      </w:r>
      <w:proofErr w:type="spellEnd"/>
      <w:r w:rsidRPr="006A47B5">
        <w:rPr>
          <w:rFonts w:ascii="inherit" w:eastAsia="Times New Roman" w:hAnsi="inherit" w:cs="Helvetica"/>
          <w:color w:val="534C4C"/>
          <w:sz w:val="18"/>
          <w:szCs w:val="18"/>
        </w:rPr>
        <w:t xml:space="preserve"> system had a down-gradient radius of influence of at least 28 ft. Changes in MTBE concentration in groundwater were monitored and destruction rates estimated using analytical results from weekly samples collected from the monitoring points. After four weeks of ozone </w:t>
      </w:r>
      <w:proofErr w:type="spellStart"/>
      <w:r w:rsidRPr="006A47B5">
        <w:rPr>
          <w:rFonts w:ascii="inherit" w:eastAsia="Times New Roman" w:hAnsi="inherit" w:cs="Helvetica"/>
          <w:color w:val="534C4C"/>
          <w:sz w:val="18"/>
          <w:szCs w:val="18"/>
        </w:rPr>
        <w:t>sparging</w:t>
      </w:r>
      <w:proofErr w:type="spellEnd"/>
      <w:r w:rsidRPr="006A47B5">
        <w:rPr>
          <w:rFonts w:ascii="inherit" w:eastAsia="Times New Roman" w:hAnsi="inherit" w:cs="Helvetica"/>
          <w:color w:val="534C4C"/>
          <w:sz w:val="18"/>
          <w:szCs w:val="18"/>
        </w:rPr>
        <w:t xml:space="preserve">, the MTBE concentrations were decreased from 6,300 parts per billion (ppb) to 1,700 ppb, a 73% destruction rate. MTBE concentrations continued to decrease to 79 ppb, a 99% destruction rate, in week seven. The success of this pilot project clearly demonstrates the efficacy of the ozone </w:t>
      </w:r>
      <w:proofErr w:type="spellStart"/>
      <w:r w:rsidRPr="006A47B5">
        <w:rPr>
          <w:rFonts w:ascii="inherit" w:eastAsia="Times New Roman" w:hAnsi="inherit" w:cs="Helvetica"/>
          <w:color w:val="534C4C"/>
          <w:sz w:val="18"/>
          <w:szCs w:val="18"/>
        </w:rPr>
        <w:t>sparging</w:t>
      </w:r>
      <w:proofErr w:type="spellEnd"/>
      <w:r w:rsidRPr="006A47B5">
        <w:rPr>
          <w:rFonts w:ascii="inherit" w:eastAsia="Times New Roman" w:hAnsi="inherit" w:cs="Helvetica"/>
          <w:color w:val="534C4C"/>
          <w:sz w:val="18"/>
          <w:szCs w:val="18"/>
        </w:rPr>
        <w:t xml:space="preserve"> technology for remediation of MTBE impacted groundwater.</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Recent state laws have been passed to ban MTBE in certain areas. California and New York, which together accounted for 40% of U.S. MTBE consumption, banned the chemical starting Jan. 1, 2004, and as of September 2006, 25 states had signed legislation banning MTBE. It will be many years before the clean-up of MTBE is complete, but with the innovative uses of ozone available to us, the health of our groundwater is continually being improved.</w:t>
      </w:r>
    </w:p>
    <w:p w:rsidR="006A47B5" w:rsidRPr="006A47B5" w:rsidRDefault="006A47B5" w:rsidP="006A47B5">
      <w:pPr>
        <w:shd w:val="clear" w:color="auto" w:fill="FFFFFF"/>
        <w:spacing w:before="100" w:beforeAutospacing="1" w:after="100" w:afterAutospacing="1" w:line="270" w:lineRule="atLeast"/>
        <w:textAlignment w:val="baseline"/>
        <w:rPr>
          <w:rFonts w:ascii="inherit" w:eastAsia="Times New Roman" w:hAnsi="inherit" w:cs="Helvetica"/>
          <w:color w:val="534C4C"/>
          <w:sz w:val="18"/>
          <w:szCs w:val="18"/>
        </w:rPr>
      </w:pPr>
      <w:r w:rsidRPr="006A47B5">
        <w:rPr>
          <w:rFonts w:ascii="inherit" w:eastAsia="Times New Roman" w:hAnsi="inherit" w:cs="Helvetica"/>
          <w:color w:val="534C4C"/>
          <w:sz w:val="18"/>
          <w:szCs w:val="18"/>
        </w:rPr>
        <w:t> </w:t>
      </w:r>
    </w:p>
    <w:p w:rsidR="006A47B5" w:rsidRPr="006A47B5" w:rsidRDefault="006A47B5" w:rsidP="006A47B5">
      <w:pPr>
        <w:shd w:val="clear" w:color="auto" w:fill="FFFFFF"/>
        <w:spacing w:after="300" w:line="494" w:lineRule="atLeast"/>
        <w:textAlignment w:val="baseline"/>
        <w:outlineLvl w:val="1"/>
        <w:rPr>
          <w:rFonts w:ascii="inherit" w:eastAsia="Times New Roman" w:hAnsi="inherit" w:cs="Helvetica"/>
          <w:b/>
          <w:bCs/>
          <w:color w:val="534C4C"/>
          <w:sz w:val="38"/>
          <w:szCs w:val="38"/>
        </w:rPr>
      </w:pPr>
      <w:r w:rsidRPr="006A47B5">
        <w:rPr>
          <w:rFonts w:ascii="inherit" w:eastAsia="Times New Roman" w:hAnsi="inherit" w:cs="Helvetica"/>
          <w:b/>
          <w:bCs/>
          <w:color w:val="534C4C"/>
          <w:sz w:val="38"/>
          <w:szCs w:val="38"/>
        </w:rPr>
        <w:t xml:space="preserve">More </w:t>
      </w:r>
      <w:proofErr w:type="gramStart"/>
      <w:r w:rsidRPr="006A47B5">
        <w:rPr>
          <w:rFonts w:ascii="inherit" w:eastAsia="Times New Roman" w:hAnsi="inherit" w:cs="Helvetica"/>
          <w:b/>
          <w:bCs/>
          <w:color w:val="534C4C"/>
          <w:sz w:val="38"/>
          <w:szCs w:val="38"/>
        </w:rPr>
        <w:t>Like</w:t>
      </w:r>
      <w:proofErr w:type="gramEnd"/>
      <w:r w:rsidRPr="006A47B5">
        <w:rPr>
          <w:rFonts w:ascii="inherit" w:eastAsia="Times New Roman" w:hAnsi="inherit" w:cs="Helvetica"/>
          <w:b/>
          <w:bCs/>
          <w:color w:val="534C4C"/>
          <w:sz w:val="38"/>
          <w:szCs w:val="38"/>
        </w:rPr>
        <w:t xml:space="preserve"> This</w:t>
      </w:r>
    </w:p>
    <w:p w:rsidR="006A47B5" w:rsidRPr="006A47B5" w:rsidRDefault="006A47B5" w:rsidP="006A47B5">
      <w:pPr>
        <w:numPr>
          <w:ilvl w:val="0"/>
          <w:numId w:val="1"/>
        </w:numPr>
        <w:shd w:val="clear" w:color="auto" w:fill="FFFFFF"/>
        <w:spacing w:after="0" w:line="270" w:lineRule="atLeast"/>
        <w:ind w:left="360"/>
        <w:textAlignment w:val="baseline"/>
        <w:rPr>
          <w:rFonts w:ascii="inherit" w:eastAsia="Times New Roman" w:hAnsi="inherit" w:cs="Helvetica"/>
          <w:color w:val="534C4C"/>
          <w:sz w:val="18"/>
          <w:szCs w:val="18"/>
        </w:rPr>
      </w:pPr>
      <w:hyperlink r:id="rId8" w:history="1">
        <w:r w:rsidRPr="006A47B5">
          <w:rPr>
            <w:rFonts w:ascii="inherit" w:eastAsia="Times New Roman" w:hAnsi="inherit" w:cs="Helvetica"/>
            <w:b/>
            <w:bCs/>
            <w:color w:val="004092"/>
            <w:sz w:val="18"/>
            <w:szCs w:val="18"/>
            <w:u w:val="single"/>
            <w:bdr w:val="none" w:sz="0" w:space="0" w:color="auto" w:frame="1"/>
          </w:rPr>
          <w:t xml:space="preserve">U.S. </w:t>
        </w:r>
        <w:proofErr w:type="spellStart"/>
        <w:r w:rsidRPr="006A47B5">
          <w:rPr>
            <w:rFonts w:ascii="inherit" w:eastAsia="Times New Roman" w:hAnsi="inherit" w:cs="Helvetica"/>
            <w:b/>
            <w:bCs/>
            <w:color w:val="004092"/>
            <w:sz w:val="18"/>
            <w:szCs w:val="18"/>
            <w:u w:val="single"/>
            <w:bdr w:val="none" w:sz="0" w:space="0" w:color="auto" w:frame="1"/>
          </w:rPr>
          <w:t>Microbics</w:t>
        </w:r>
        <w:proofErr w:type="spellEnd"/>
        <w:r w:rsidRPr="006A47B5">
          <w:rPr>
            <w:rFonts w:ascii="inherit" w:eastAsia="Times New Roman" w:hAnsi="inherit" w:cs="Helvetica"/>
            <w:b/>
            <w:bCs/>
            <w:color w:val="004092"/>
            <w:sz w:val="18"/>
            <w:szCs w:val="18"/>
            <w:u w:val="single"/>
            <w:bdr w:val="none" w:sz="0" w:space="0" w:color="auto" w:frame="1"/>
          </w:rPr>
          <w:t xml:space="preserve"> Unveils Solution to MTBE Contamination</w:t>
        </w:r>
      </w:hyperlink>
    </w:p>
    <w:p w:rsidR="006A47B5" w:rsidRPr="006A47B5" w:rsidRDefault="006A47B5" w:rsidP="006A47B5">
      <w:pPr>
        <w:numPr>
          <w:ilvl w:val="0"/>
          <w:numId w:val="1"/>
        </w:numPr>
        <w:shd w:val="clear" w:color="auto" w:fill="FFFFFF"/>
        <w:spacing w:after="0" w:line="270" w:lineRule="atLeast"/>
        <w:ind w:left="360"/>
        <w:textAlignment w:val="baseline"/>
        <w:rPr>
          <w:rFonts w:ascii="inherit" w:eastAsia="Times New Roman" w:hAnsi="inherit" w:cs="Helvetica"/>
          <w:color w:val="534C4C"/>
          <w:sz w:val="18"/>
          <w:szCs w:val="18"/>
        </w:rPr>
      </w:pPr>
      <w:hyperlink r:id="rId9" w:history="1">
        <w:r w:rsidRPr="006A47B5">
          <w:rPr>
            <w:rFonts w:ascii="inherit" w:eastAsia="Times New Roman" w:hAnsi="inherit" w:cs="Helvetica"/>
            <w:b/>
            <w:bCs/>
            <w:color w:val="004092"/>
            <w:sz w:val="18"/>
            <w:szCs w:val="18"/>
            <w:u w:val="single"/>
            <w:bdr w:val="none" w:sz="0" w:space="0" w:color="auto" w:frame="1"/>
          </w:rPr>
          <w:t>Q&amp;A: Make No Mistake, the Industry Won’t Wait for MTBE Clean Up</w:t>
        </w:r>
      </w:hyperlink>
    </w:p>
    <w:p w:rsidR="006A47B5" w:rsidRPr="006A47B5" w:rsidRDefault="006A47B5" w:rsidP="006A47B5">
      <w:pPr>
        <w:numPr>
          <w:ilvl w:val="0"/>
          <w:numId w:val="1"/>
        </w:numPr>
        <w:shd w:val="clear" w:color="auto" w:fill="FFFFFF"/>
        <w:spacing w:after="0" w:line="270" w:lineRule="atLeast"/>
        <w:ind w:left="360"/>
        <w:textAlignment w:val="baseline"/>
        <w:rPr>
          <w:rFonts w:ascii="inherit" w:eastAsia="Times New Roman" w:hAnsi="inherit" w:cs="Helvetica"/>
          <w:color w:val="534C4C"/>
          <w:sz w:val="18"/>
          <w:szCs w:val="18"/>
        </w:rPr>
      </w:pPr>
      <w:hyperlink r:id="rId10" w:history="1">
        <w:r w:rsidRPr="006A47B5">
          <w:rPr>
            <w:rFonts w:ascii="inherit" w:eastAsia="Times New Roman" w:hAnsi="inherit" w:cs="Helvetica"/>
            <w:b/>
            <w:bCs/>
            <w:color w:val="004092"/>
            <w:sz w:val="18"/>
            <w:szCs w:val="18"/>
            <w:u w:val="single"/>
            <w:bdr w:val="none" w:sz="0" w:space="0" w:color="auto" w:frame="1"/>
          </w:rPr>
          <w:t>Water Utilities to Congress: Don't Let Water Polluters Off the Hook</w:t>
        </w:r>
      </w:hyperlink>
    </w:p>
    <w:p w:rsidR="006A47B5" w:rsidRPr="006A47B5" w:rsidRDefault="006A47B5" w:rsidP="006A47B5">
      <w:pPr>
        <w:numPr>
          <w:ilvl w:val="0"/>
          <w:numId w:val="1"/>
        </w:numPr>
        <w:shd w:val="clear" w:color="auto" w:fill="FFFFFF"/>
        <w:spacing w:after="0" w:line="270" w:lineRule="atLeast"/>
        <w:ind w:left="360"/>
        <w:textAlignment w:val="baseline"/>
        <w:rPr>
          <w:rFonts w:ascii="inherit" w:eastAsia="Times New Roman" w:hAnsi="inherit" w:cs="Helvetica"/>
          <w:color w:val="534C4C"/>
          <w:sz w:val="18"/>
          <w:szCs w:val="18"/>
        </w:rPr>
      </w:pPr>
      <w:hyperlink r:id="rId11" w:history="1">
        <w:r w:rsidRPr="006A47B5">
          <w:rPr>
            <w:rFonts w:ascii="inherit" w:eastAsia="Times New Roman" w:hAnsi="inherit" w:cs="Helvetica"/>
            <w:b/>
            <w:bCs/>
            <w:color w:val="004092"/>
            <w:sz w:val="18"/>
            <w:szCs w:val="18"/>
            <w:u w:val="single"/>
            <w:bdr w:val="none" w:sz="0" w:space="0" w:color="auto" w:frame="1"/>
          </w:rPr>
          <w:t>Ozone Eliminates 'Stinky' Problem</w:t>
        </w:r>
      </w:hyperlink>
    </w:p>
    <w:p w:rsidR="006A47B5" w:rsidRPr="006A47B5" w:rsidRDefault="006A47B5" w:rsidP="006A47B5">
      <w:pPr>
        <w:numPr>
          <w:ilvl w:val="0"/>
          <w:numId w:val="1"/>
        </w:numPr>
        <w:shd w:val="clear" w:color="auto" w:fill="FFFFFF"/>
        <w:spacing w:after="0" w:line="270" w:lineRule="atLeast"/>
        <w:ind w:left="360"/>
        <w:textAlignment w:val="baseline"/>
        <w:rPr>
          <w:rFonts w:ascii="inherit" w:eastAsia="Times New Roman" w:hAnsi="inherit" w:cs="Helvetica"/>
          <w:color w:val="534C4C"/>
          <w:sz w:val="18"/>
          <w:szCs w:val="18"/>
        </w:rPr>
      </w:pPr>
      <w:hyperlink r:id="rId12" w:history="1">
        <w:r w:rsidRPr="006A47B5">
          <w:rPr>
            <w:rFonts w:ascii="inherit" w:eastAsia="Times New Roman" w:hAnsi="inherit" w:cs="Helvetica"/>
            <w:b/>
            <w:bCs/>
            <w:color w:val="004092"/>
            <w:sz w:val="18"/>
            <w:szCs w:val="18"/>
            <w:u w:val="single"/>
            <w:bdr w:val="none" w:sz="0" w:space="0" w:color="auto" w:frame="1"/>
          </w:rPr>
          <w:t>MTBE Removal With Activated Carbon</w:t>
        </w:r>
      </w:hyperlink>
    </w:p>
    <w:p w:rsidR="006A47B5" w:rsidRPr="006A47B5" w:rsidRDefault="006A47B5" w:rsidP="006A47B5">
      <w:pPr>
        <w:shd w:val="clear" w:color="auto" w:fill="FFFFFF"/>
        <w:spacing w:line="270" w:lineRule="atLeast"/>
        <w:textAlignment w:val="baseline"/>
        <w:rPr>
          <w:rFonts w:ascii="inherit" w:eastAsia="Times New Roman" w:hAnsi="inherit" w:cs="Helvetica"/>
          <w:i/>
          <w:iCs/>
          <w:color w:val="534C4C"/>
          <w:sz w:val="21"/>
          <w:szCs w:val="21"/>
        </w:rPr>
      </w:pPr>
      <w:r w:rsidRPr="006A47B5">
        <w:rPr>
          <w:rFonts w:ascii="inherit" w:eastAsia="Times New Roman" w:hAnsi="inherit" w:cs="Helvetica"/>
          <w:i/>
          <w:iCs/>
          <w:color w:val="534C4C"/>
          <w:sz w:val="21"/>
          <w:szCs w:val="21"/>
        </w:rPr>
        <w:t xml:space="preserve">Ken Castro is owner of </w:t>
      </w:r>
      <w:proofErr w:type="spellStart"/>
      <w:r w:rsidRPr="006A47B5">
        <w:rPr>
          <w:rFonts w:ascii="inherit" w:eastAsia="Times New Roman" w:hAnsi="inherit" w:cs="Helvetica"/>
          <w:i/>
          <w:iCs/>
          <w:color w:val="534C4C"/>
          <w:sz w:val="21"/>
          <w:szCs w:val="21"/>
        </w:rPr>
        <w:t>CoStar</w:t>
      </w:r>
      <w:proofErr w:type="spellEnd"/>
      <w:r w:rsidRPr="006A47B5">
        <w:rPr>
          <w:rFonts w:ascii="inherit" w:eastAsia="Times New Roman" w:hAnsi="inherit" w:cs="Helvetica"/>
          <w:i/>
          <w:iCs/>
          <w:color w:val="534C4C"/>
          <w:sz w:val="21"/>
          <w:szCs w:val="21"/>
        </w:rPr>
        <w:t>, LLC. He can be reached at 805.712.6052, or by e-mail at kcastro@costarozone.com.</w:t>
      </w:r>
    </w:p>
    <w:p w:rsidR="00E41CE8" w:rsidRDefault="00E41CE8">
      <w:bookmarkStart w:id="0" w:name="_GoBack"/>
      <w:bookmarkEnd w:id="0"/>
    </w:p>
    <w:sectPr w:rsidR="00E4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C6C"/>
    <w:multiLevelType w:val="multilevel"/>
    <w:tmpl w:val="B58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B5"/>
    <w:rsid w:val="000220DC"/>
    <w:rsid w:val="00024E99"/>
    <w:rsid w:val="00030698"/>
    <w:rsid w:val="00036672"/>
    <w:rsid w:val="000378CB"/>
    <w:rsid w:val="00045833"/>
    <w:rsid w:val="000479C7"/>
    <w:rsid w:val="000546A2"/>
    <w:rsid w:val="0005551E"/>
    <w:rsid w:val="000608DA"/>
    <w:rsid w:val="00061CF0"/>
    <w:rsid w:val="000803A9"/>
    <w:rsid w:val="00082F51"/>
    <w:rsid w:val="00086A72"/>
    <w:rsid w:val="0008767B"/>
    <w:rsid w:val="00092432"/>
    <w:rsid w:val="0009581C"/>
    <w:rsid w:val="00095DFD"/>
    <w:rsid w:val="000A16D8"/>
    <w:rsid w:val="000A22A1"/>
    <w:rsid w:val="000A3425"/>
    <w:rsid w:val="000A380F"/>
    <w:rsid w:val="000B15E1"/>
    <w:rsid w:val="000B31E2"/>
    <w:rsid w:val="000B48D2"/>
    <w:rsid w:val="000C11FF"/>
    <w:rsid w:val="000C64EC"/>
    <w:rsid w:val="000D008D"/>
    <w:rsid w:val="000E001E"/>
    <w:rsid w:val="000E2219"/>
    <w:rsid w:val="000E4ED4"/>
    <w:rsid w:val="000E5C55"/>
    <w:rsid w:val="000F0B95"/>
    <w:rsid w:val="001176D8"/>
    <w:rsid w:val="001243D6"/>
    <w:rsid w:val="0014051B"/>
    <w:rsid w:val="0014179B"/>
    <w:rsid w:val="001512A0"/>
    <w:rsid w:val="0015761D"/>
    <w:rsid w:val="00175004"/>
    <w:rsid w:val="00183050"/>
    <w:rsid w:val="00186BAA"/>
    <w:rsid w:val="00187753"/>
    <w:rsid w:val="001877C2"/>
    <w:rsid w:val="001A14D1"/>
    <w:rsid w:val="001A3609"/>
    <w:rsid w:val="001A526E"/>
    <w:rsid w:val="001A571E"/>
    <w:rsid w:val="001A6430"/>
    <w:rsid w:val="001C1416"/>
    <w:rsid w:val="001D0BFE"/>
    <w:rsid w:val="001D5F84"/>
    <w:rsid w:val="001D7E58"/>
    <w:rsid w:val="001E0AC5"/>
    <w:rsid w:val="001E637B"/>
    <w:rsid w:val="001E6FC2"/>
    <w:rsid w:val="001E781F"/>
    <w:rsid w:val="001F1C31"/>
    <w:rsid w:val="001F30FD"/>
    <w:rsid w:val="002046C8"/>
    <w:rsid w:val="002113F9"/>
    <w:rsid w:val="002144F7"/>
    <w:rsid w:val="00214B60"/>
    <w:rsid w:val="00223541"/>
    <w:rsid w:val="0023181E"/>
    <w:rsid w:val="002405A2"/>
    <w:rsid w:val="00242ABA"/>
    <w:rsid w:val="00245732"/>
    <w:rsid w:val="00255383"/>
    <w:rsid w:val="00256657"/>
    <w:rsid w:val="00276971"/>
    <w:rsid w:val="00280F04"/>
    <w:rsid w:val="0028182A"/>
    <w:rsid w:val="00281CE6"/>
    <w:rsid w:val="00286622"/>
    <w:rsid w:val="00286953"/>
    <w:rsid w:val="00291C0F"/>
    <w:rsid w:val="002B09A5"/>
    <w:rsid w:val="002C11C4"/>
    <w:rsid w:val="002C3217"/>
    <w:rsid w:val="002C6602"/>
    <w:rsid w:val="002D0D79"/>
    <w:rsid w:val="002D15C5"/>
    <w:rsid w:val="002E4DF2"/>
    <w:rsid w:val="002E6AF0"/>
    <w:rsid w:val="002F3472"/>
    <w:rsid w:val="0031476C"/>
    <w:rsid w:val="00316986"/>
    <w:rsid w:val="00321DF2"/>
    <w:rsid w:val="00324312"/>
    <w:rsid w:val="00326365"/>
    <w:rsid w:val="00340CDF"/>
    <w:rsid w:val="0034101A"/>
    <w:rsid w:val="00343B39"/>
    <w:rsid w:val="00344100"/>
    <w:rsid w:val="0035051A"/>
    <w:rsid w:val="003621A3"/>
    <w:rsid w:val="00365A8E"/>
    <w:rsid w:val="0036686D"/>
    <w:rsid w:val="0037045A"/>
    <w:rsid w:val="00375B43"/>
    <w:rsid w:val="00394B26"/>
    <w:rsid w:val="003A1369"/>
    <w:rsid w:val="003A3219"/>
    <w:rsid w:val="003A4512"/>
    <w:rsid w:val="003A5A8D"/>
    <w:rsid w:val="003A6FB3"/>
    <w:rsid w:val="003A7DA2"/>
    <w:rsid w:val="003B66BD"/>
    <w:rsid w:val="003C19ED"/>
    <w:rsid w:val="003C230E"/>
    <w:rsid w:val="003C46C2"/>
    <w:rsid w:val="003D1FBA"/>
    <w:rsid w:val="003D2148"/>
    <w:rsid w:val="003E54C2"/>
    <w:rsid w:val="003F3459"/>
    <w:rsid w:val="003F6931"/>
    <w:rsid w:val="003F6B44"/>
    <w:rsid w:val="00402563"/>
    <w:rsid w:val="00404BE2"/>
    <w:rsid w:val="004051C2"/>
    <w:rsid w:val="00413842"/>
    <w:rsid w:val="004156A4"/>
    <w:rsid w:val="00420DA8"/>
    <w:rsid w:val="0042294B"/>
    <w:rsid w:val="00423554"/>
    <w:rsid w:val="00423A3A"/>
    <w:rsid w:val="00433E96"/>
    <w:rsid w:val="00446673"/>
    <w:rsid w:val="0045068D"/>
    <w:rsid w:val="004507DD"/>
    <w:rsid w:val="00461702"/>
    <w:rsid w:val="00464954"/>
    <w:rsid w:val="00465AF4"/>
    <w:rsid w:val="004718A7"/>
    <w:rsid w:val="00471F10"/>
    <w:rsid w:val="00474A3B"/>
    <w:rsid w:val="00477746"/>
    <w:rsid w:val="004801F2"/>
    <w:rsid w:val="0048330A"/>
    <w:rsid w:val="00491733"/>
    <w:rsid w:val="00497F34"/>
    <w:rsid w:val="004A1BB0"/>
    <w:rsid w:val="004A4F2D"/>
    <w:rsid w:val="004B2D4C"/>
    <w:rsid w:val="004B2D72"/>
    <w:rsid w:val="004B32A1"/>
    <w:rsid w:val="004B3381"/>
    <w:rsid w:val="004C13F5"/>
    <w:rsid w:val="004C2AD1"/>
    <w:rsid w:val="004C777B"/>
    <w:rsid w:val="004E4B35"/>
    <w:rsid w:val="004F4278"/>
    <w:rsid w:val="004F510F"/>
    <w:rsid w:val="00502AC7"/>
    <w:rsid w:val="00503905"/>
    <w:rsid w:val="00506F34"/>
    <w:rsid w:val="005109C3"/>
    <w:rsid w:val="005141B1"/>
    <w:rsid w:val="00515C77"/>
    <w:rsid w:val="0052138A"/>
    <w:rsid w:val="00523A8E"/>
    <w:rsid w:val="00526FB0"/>
    <w:rsid w:val="00533694"/>
    <w:rsid w:val="005337EF"/>
    <w:rsid w:val="00535562"/>
    <w:rsid w:val="00541753"/>
    <w:rsid w:val="00541C3E"/>
    <w:rsid w:val="00544DCE"/>
    <w:rsid w:val="00547B11"/>
    <w:rsid w:val="00561E77"/>
    <w:rsid w:val="005720EE"/>
    <w:rsid w:val="005804B0"/>
    <w:rsid w:val="00580A1D"/>
    <w:rsid w:val="00581E76"/>
    <w:rsid w:val="00585043"/>
    <w:rsid w:val="00590965"/>
    <w:rsid w:val="00591A3A"/>
    <w:rsid w:val="00594E73"/>
    <w:rsid w:val="005A1E69"/>
    <w:rsid w:val="005A5286"/>
    <w:rsid w:val="005B0EB7"/>
    <w:rsid w:val="005B1AC6"/>
    <w:rsid w:val="005B1F7C"/>
    <w:rsid w:val="005B31A8"/>
    <w:rsid w:val="005B6423"/>
    <w:rsid w:val="005C04B3"/>
    <w:rsid w:val="005C59A8"/>
    <w:rsid w:val="005D4661"/>
    <w:rsid w:val="005E6B36"/>
    <w:rsid w:val="005F1B7D"/>
    <w:rsid w:val="005F1BFF"/>
    <w:rsid w:val="005F285A"/>
    <w:rsid w:val="005F5A6B"/>
    <w:rsid w:val="006025A0"/>
    <w:rsid w:val="006054F8"/>
    <w:rsid w:val="00606A60"/>
    <w:rsid w:val="00613217"/>
    <w:rsid w:val="00615B0B"/>
    <w:rsid w:val="00621E64"/>
    <w:rsid w:val="00633A7F"/>
    <w:rsid w:val="00634E34"/>
    <w:rsid w:val="006350AB"/>
    <w:rsid w:val="00636DAE"/>
    <w:rsid w:val="006404C9"/>
    <w:rsid w:val="006415FB"/>
    <w:rsid w:val="00645403"/>
    <w:rsid w:val="00645E89"/>
    <w:rsid w:val="00646DBC"/>
    <w:rsid w:val="006656A9"/>
    <w:rsid w:val="00686DED"/>
    <w:rsid w:val="00693B83"/>
    <w:rsid w:val="006A47B5"/>
    <w:rsid w:val="006A656A"/>
    <w:rsid w:val="006C76DA"/>
    <w:rsid w:val="006D00B5"/>
    <w:rsid w:val="006D1A99"/>
    <w:rsid w:val="006D1FA0"/>
    <w:rsid w:val="006D506E"/>
    <w:rsid w:val="006D617C"/>
    <w:rsid w:val="006E1612"/>
    <w:rsid w:val="006E21B3"/>
    <w:rsid w:val="006E394B"/>
    <w:rsid w:val="0070293F"/>
    <w:rsid w:val="00706FD1"/>
    <w:rsid w:val="00707A3E"/>
    <w:rsid w:val="00711BCF"/>
    <w:rsid w:val="0072316B"/>
    <w:rsid w:val="0072756F"/>
    <w:rsid w:val="00731337"/>
    <w:rsid w:val="00733D0C"/>
    <w:rsid w:val="0074564D"/>
    <w:rsid w:val="007508E8"/>
    <w:rsid w:val="0075687A"/>
    <w:rsid w:val="00766668"/>
    <w:rsid w:val="007839EE"/>
    <w:rsid w:val="00785B37"/>
    <w:rsid w:val="0079478A"/>
    <w:rsid w:val="00794F76"/>
    <w:rsid w:val="00795EF8"/>
    <w:rsid w:val="00796FBC"/>
    <w:rsid w:val="007B1D51"/>
    <w:rsid w:val="007B300E"/>
    <w:rsid w:val="007B76B6"/>
    <w:rsid w:val="007C4114"/>
    <w:rsid w:val="007C5447"/>
    <w:rsid w:val="007C584C"/>
    <w:rsid w:val="007C77F9"/>
    <w:rsid w:val="007D64E1"/>
    <w:rsid w:val="007E3F14"/>
    <w:rsid w:val="007E7F42"/>
    <w:rsid w:val="008016D7"/>
    <w:rsid w:val="00803789"/>
    <w:rsid w:val="00804B99"/>
    <w:rsid w:val="00805564"/>
    <w:rsid w:val="008073C2"/>
    <w:rsid w:val="00814CD6"/>
    <w:rsid w:val="00817ABB"/>
    <w:rsid w:val="00823A00"/>
    <w:rsid w:val="00825A15"/>
    <w:rsid w:val="0083226A"/>
    <w:rsid w:val="00845347"/>
    <w:rsid w:val="008520CF"/>
    <w:rsid w:val="00852805"/>
    <w:rsid w:val="008573A6"/>
    <w:rsid w:val="00872DF5"/>
    <w:rsid w:val="00877B25"/>
    <w:rsid w:val="0088117B"/>
    <w:rsid w:val="008816F5"/>
    <w:rsid w:val="008949FE"/>
    <w:rsid w:val="008A028F"/>
    <w:rsid w:val="008A2FE6"/>
    <w:rsid w:val="008A758A"/>
    <w:rsid w:val="008B4DA9"/>
    <w:rsid w:val="008C43EE"/>
    <w:rsid w:val="008D1EDB"/>
    <w:rsid w:val="008D2164"/>
    <w:rsid w:val="008D4B97"/>
    <w:rsid w:val="008E7581"/>
    <w:rsid w:val="008F6898"/>
    <w:rsid w:val="008F7733"/>
    <w:rsid w:val="009001AF"/>
    <w:rsid w:val="00901366"/>
    <w:rsid w:val="00901B26"/>
    <w:rsid w:val="009029E0"/>
    <w:rsid w:val="00903F4F"/>
    <w:rsid w:val="00904C74"/>
    <w:rsid w:val="00905A92"/>
    <w:rsid w:val="00906D43"/>
    <w:rsid w:val="009121B3"/>
    <w:rsid w:val="00913985"/>
    <w:rsid w:val="0091479C"/>
    <w:rsid w:val="00915AF1"/>
    <w:rsid w:val="00916375"/>
    <w:rsid w:val="00921D54"/>
    <w:rsid w:val="0092511D"/>
    <w:rsid w:val="00925733"/>
    <w:rsid w:val="00927D13"/>
    <w:rsid w:val="00951681"/>
    <w:rsid w:val="00951F68"/>
    <w:rsid w:val="00957603"/>
    <w:rsid w:val="00960837"/>
    <w:rsid w:val="0097347D"/>
    <w:rsid w:val="00987D21"/>
    <w:rsid w:val="00990E61"/>
    <w:rsid w:val="009A14CB"/>
    <w:rsid w:val="009B2CD8"/>
    <w:rsid w:val="009B5DA4"/>
    <w:rsid w:val="009C0A96"/>
    <w:rsid w:val="009C1211"/>
    <w:rsid w:val="009C2C21"/>
    <w:rsid w:val="009C42CC"/>
    <w:rsid w:val="009F4539"/>
    <w:rsid w:val="00A30181"/>
    <w:rsid w:val="00A30CA8"/>
    <w:rsid w:val="00A328D7"/>
    <w:rsid w:val="00A32A55"/>
    <w:rsid w:val="00A36A69"/>
    <w:rsid w:val="00A37CEE"/>
    <w:rsid w:val="00A4035B"/>
    <w:rsid w:val="00A40BF9"/>
    <w:rsid w:val="00A456E9"/>
    <w:rsid w:val="00A51342"/>
    <w:rsid w:val="00A563D0"/>
    <w:rsid w:val="00A5680F"/>
    <w:rsid w:val="00A631DA"/>
    <w:rsid w:val="00A66E9B"/>
    <w:rsid w:val="00A676C4"/>
    <w:rsid w:val="00A82E81"/>
    <w:rsid w:val="00A87B10"/>
    <w:rsid w:val="00AA06B1"/>
    <w:rsid w:val="00AA12BF"/>
    <w:rsid w:val="00AA246E"/>
    <w:rsid w:val="00AB10D9"/>
    <w:rsid w:val="00AB4C98"/>
    <w:rsid w:val="00AC5AB5"/>
    <w:rsid w:val="00AD12A8"/>
    <w:rsid w:val="00AD20DE"/>
    <w:rsid w:val="00AE20F1"/>
    <w:rsid w:val="00AF1DA0"/>
    <w:rsid w:val="00B1367B"/>
    <w:rsid w:val="00B1568A"/>
    <w:rsid w:val="00B16425"/>
    <w:rsid w:val="00B212FB"/>
    <w:rsid w:val="00B21900"/>
    <w:rsid w:val="00B30A47"/>
    <w:rsid w:val="00B35204"/>
    <w:rsid w:val="00B41797"/>
    <w:rsid w:val="00B4462C"/>
    <w:rsid w:val="00B57C1D"/>
    <w:rsid w:val="00B76BE0"/>
    <w:rsid w:val="00B80989"/>
    <w:rsid w:val="00B86163"/>
    <w:rsid w:val="00B86E27"/>
    <w:rsid w:val="00B93C87"/>
    <w:rsid w:val="00B975BE"/>
    <w:rsid w:val="00BB1D1C"/>
    <w:rsid w:val="00BC0193"/>
    <w:rsid w:val="00BC2095"/>
    <w:rsid w:val="00BC54C1"/>
    <w:rsid w:val="00BC5511"/>
    <w:rsid w:val="00BC5AF6"/>
    <w:rsid w:val="00BC6CF0"/>
    <w:rsid w:val="00BC7CE9"/>
    <w:rsid w:val="00BD1DCD"/>
    <w:rsid w:val="00BD5434"/>
    <w:rsid w:val="00BD5528"/>
    <w:rsid w:val="00BD62D8"/>
    <w:rsid w:val="00C14173"/>
    <w:rsid w:val="00C146DD"/>
    <w:rsid w:val="00C2005C"/>
    <w:rsid w:val="00C24A46"/>
    <w:rsid w:val="00C26510"/>
    <w:rsid w:val="00C30170"/>
    <w:rsid w:val="00C324BD"/>
    <w:rsid w:val="00C35398"/>
    <w:rsid w:val="00C411DB"/>
    <w:rsid w:val="00C47992"/>
    <w:rsid w:val="00C537D4"/>
    <w:rsid w:val="00C64466"/>
    <w:rsid w:val="00C74C61"/>
    <w:rsid w:val="00C86198"/>
    <w:rsid w:val="00C92711"/>
    <w:rsid w:val="00CA1F9A"/>
    <w:rsid w:val="00CA3482"/>
    <w:rsid w:val="00CA4243"/>
    <w:rsid w:val="00CA486D"/>
    <w:rsid w:val="00CB110F"/>
    <w:rsid w:val="00CB2F0E"/>
    <w:rsid w:val="00CB322F"/>
    <w:rsid w:val="00CB7CD0"/>
    <w:rsid w:val="00CC0265"/>
    <w:rsid w:val="00CC28D6"/>
    <w:rsid w:val="00CD1D96"/>
    <w:rsid w:val="00CF13F9"/>
    <w:rsid w:val="00CF667C"/>
    <w:rsid w:val="00D00A8E"/>
    <w:rsid w:val="00D04511"/>
    <w:rsid w:val="00D12F09"/>
    <w:rsid w:val="00D1496A"/>
    <w:rsid w:val="00D17A9B"/>
    <w:rsid w:val="00D23FEA"/>
    <w:rsid w:val="00D25CEF"/>
    <w:rsid w:val="00D32CDA"/>
    <w:rsid w:val="00D3731F"/>
    <w:rsid w:val="00D46231"/>
    <w:rsid w:val="00D47758"/>
    <w:rsid w:val="00D47886"/>
    <w:rsid w:val="00D5014C"/>
    <w:rsid w:val="00D51E74"/>
    <w:rsid w:val="00D56D14"/>
    <w:rsid w:val="00D63259"/>
    <w:rsid w:val="00D7032C"/>
    <w:rsid w:val="00D77899"/>
    <w:rsid w:val="00D83134"/>
    <w:rsid w:val="00D84E51"/>
    <w:rsid w:val="00D93923"/>
    <w:rsid w:val="00D94E9C"/>
    <w:rsid w:val="00D96F71"/>
    <w:rsid w:val="00DA710C"/>
    <w:rsid w:val="00DA7B59"/>
    <w:rsid w:val="00DB1592"/>
    <w:rsid w:val="00DB1947"/>
    <w:rsid w:val="00DB5B9A"/>
    <w:rsid w:val="00DB7282"/>
    <w:rsid w:val="00DB72AC"/>
    <w:rsid w:val="00DD1BD1"/>
    <w:rsid w:val="00DD3C2E"/>
    <w:rsid w:val="00DE676B"/>
    <w:rsid w:val="00DF2167"/>
    <w:rsid w:val="00DF4E63"/>
    <w:rsid w:val="00DF521E"/>
    <w:rsid w:val="00E03B73"/>
    <w:rsid w:val="00E05432"/>
    <w:rsid w:val="00E20509"/>
    <w:rsid w:val="00E225B7"/>
    <w:rsid w:val="00E26472"/>
    <w:rsid w:val="00E34C16"/>
    <w:rsid w:val="00E356B9"/>
    <w:rsid w:val="00E3630F"/>
    <w:rsid w:val="00E37376"/>
    <w:rsid w:val="00E41707"/>
    <w:rsid w:val="00E41CE8"/>
    <w:rsid w:val="00E42189"/>
    <w:rsid w:val="00E50904"/>
    <w:rsid w:val="00E51767"/>
    <w:rsid w:val="00E5447B"/>
    <w:rsid w:val="00E56BD4"/>
    <w:rsid w:val="00E64C11"/>
    <w:rsid w:val="00E7543F"/>
    <w:rsid w:val="00E778B2"/>
    <w:rsid w:val="00E83E91"/>
    <w:rsid w:val="00E840A3"/>
    <w:rsid w:val="00E8549A"/>
    <w:rsid w:val="00E87236"/>
    <w:rsid w:val="00E97DA0"/>
    <w:rsid w:val="00EA13C7"/>
    <w:rsid w:val="00EA2128"/>
    <w:rsid w:val="00EA5185"/>
    <w:rsid w:val="00EC78C8"/>
    <w:rsid w:val="00ED0090"/>
    <w:rsid w:val="00ED337A"/>
    <w:rsid w:val="00EE2618"/>
    <w:rsid w:val="00EE2933"/>
    <w:rsid w:val="00EF0AA3"/>
    <w:rsid w:val="00EF2F5D"/>
    <w:rsid w:val="00EF5950"/>
    <w:rsid w:val="00EF5BD7"/>
    <w:rsid w:val="00F05AD9"/>
    <w:rsid w:val="00F0771D"/>
    <w:rsid w:val="00F14255"/>
    <w:rsid w:val="00F24CE0"/>
    <w:rsid w:val="00F32260"/>
    <w:rsid w:val="00F32AD6"/>
    <w:rsid w:val="00F3366E"/>
    <w:rsid w:val="00F344D7"/>
    <w:rsid w:val="00F36A1D"/>
    <w:rsid w:val="00F428E7"/>
    <w:rsid w:val="00F47469"/>
    <w:rsid w:val="00F47716"/>
    <w:rsid w:val="00F555E4"/>
    <w:rsid w:val="00F5606E"/>
    <w:rsid w:val="00F572C5"/>
    <w:rsid w:val="00F7188D"/>
    <w:rsid w:val="00F820B9"/>
    <w:rsid w:val="00F82B42"/>
    <w:rsid w:val="00F922B0"/>
    <w:rsid w:val="00F92369"/>
    <w:rsid w:val="00F949F1"/>
    <w:rsid w:val="00F96FDA"/>
    <w:rsid w:val="00FA1F43"/>
    <w:rsid w:val="00FA24C0"/>
    <w:rsid w:val="00FA5486"/>
    <w:rsid w:val="00FA7C49"/>
    <w:rsid w:val="00FB00DC"/>
    <w:rsid w:val="00FB17A3"/>
    <w:rsid w:val="00FB3818"/>
    <w:rsid w:val="00FB4E52"/>
    <w:rsid w:val="00FB7907"/>
    <w:rsid w:val="00FC17DD"/>
    <w:rsid w:val="00FC5BEB"/>
    <w:rsid w:val="00FC629B"/>
    <w:rsid w:val="00FD06E1"/>
    <w:rsid w:val="00FD088D"/>
    <w:rsid w:val="00FD10DD"/>
    <w:rsid w:val="00FE0A9D"/>
    <w:rsid w:val="00FE79DE"/>
    <w:rsid w:val="00FE7AD5"/>
    <w:rsid w:val="00FF1867"/>
    <w:rsid w:val="00FF309A"/>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55634">
      <w:bodyDiv w:val="1"/>
      <w:marLeft w:val="0"/>
      <w:marRight w:val="0"/>
      <w:marTop w:val="0"/>
      <w:marBottom w:val="0"/>
      <w:divBdr>
        <w:top w:val="none" w:sz="0" w:space="0" w:color="auto"/>
        <w:left w:val="none" w:sz="0" w:space="0" w:color="auto"/>
        <w:bottom w:val="none" w:sz="0" w:space="0" w:color="auto"/>
        <w:right w:val="none" w:sz="0" w:space="0" w:color="auto"/>
      </w:divBdr>
      <w:divsChild>
        <w:div w:id="1412969864">
          <w:marLeft w:val="0"/>
          <w:marRight w:val="0"/>
          <w:marTop w:val="0"/>
          <w:marBottom w:val="0"/>
          <w:divBdr>
            <w:top w:val="none" w:sz="0" w:space="0" w:color="auto"/>
            <w:left w:val="none" w:sz="0" w:space="0" w:color="auto"/>
            <w:bottom w:val="none" w:sz="0" w:space="0" w:color="auto"/>
            <w:right w:val="none" w:sz="0" w:space="0" w:color="auto"/>
          </w:divBdr>
          <w:divsChild>
            <w:div w:id="1605964116">
              <w:marLeft w:val="0"/>
              <w:marRight w:val="0"/>
              <w:marTop w:val="0"/>
              <w:marBottom w:val="0"/>
              <w:divBdr>
                <w:top w:val="none" w:sz="0" w:space="0" w:color="auto"/>
                <w:left w:val="none" w:sz="0" w:space="0" w:color="auto"/>
                <w:bottom w:val="none" w:sz="0" w:space="0" w:color="auto"/>
                <w:right w:val="none" w:sz="0" w:space="0" w:color="auto"/>
              </w:divBdr>
            </w:div>
          </w:divsChild>
        </w:div>
        <w:div w:id="1263342198">
          <w:marLeft w:val="0"/>
          <w:marRight w:val="0"/>
          <w:marTop w:val="150"/>
          <w:marBottom w:val="150"/>
          <w:divBdr>
            <w:top w:val="none" w:sz="0" w:space="0" w:color="auto"/>
            <w:left w:val="none" w:sz="0" w:space="0" w:color="auto"/>
            <w:bottom w:val="none" w:sz="0" w:space="0" w:color="auto"/>
            <w:right w:val="none" w:sz="0" w:space="0" w:color="auto"/>
          </w:divBdr>
          <w:divsChild>
            <w:div w:id="861742555">
              <w:marLeft w:val="0"/>
              <w:marRight w:val="0"/>
              <w:marTop w:val="0"/>
              <w:marBottom w:val="0"/>
              <w:divBdr>
                <w:top w:val="none" w:sz="0" w:space="0" w:color="auto"/>
                <w:left w:val="none" w:sz="0" w:space="0" w:color="auto"/>
                <w:bottom w:val="none" w:sz="0" w:space="0" w:color="auto"/>
                <w:right w:val="none" w:sz="0" w:space="0" w:color="auto"/>
              </w:divBdr>
              <w:divsChild>
                <w:div w:id="1611623993">
                  <w:marLeft w:val="0"/>
                  <w:marRight w:val="0"/>
                  <w:marTop w:val="0"/>
                  <w:marBottom w:val="0"/>
                  <w:divBdr>
                    <w:top w:val="none" w:sz="0" w:space="0" w:color="auto"/>
                    <w:left w:val="none" w:sz="0" w:space="0" w:color="auto"/>
                    <w:bottom w:val="none" w:sz="0" w:space="0" w:color="auto"/>
                    <w:right w:val="none" w:sz="0" w:space="0" w:color="auto"/>
                  </w:divBdr>
                  <w:divsChild>
                    <w:div w:id="273830800">
                      <w:marLeft w:val="0"/>
                      <w:marRight w:val="0"/>
                      <w:marTop w:val="0"/>
                      <w:marBottom w:val="0"/>
                      <w:divBdr>
                        <w:top w:val="none" w:sz="0" w:space="0" w:color="auto"/>
                        <w:left w:val="none" w:sz="0" w:space="0" w:color="auto"/>
                        <w:bottom w:val="none" w:sz="0" w:space="0" w:color="auto"/>
                        <w:right w:val="none" w:sz="0" w:space="0" w:color="auto"/>
                      </w:divBdr>
                      <w:divsChild>
                        <w:div w:id="721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36928">
          <w:marLeft w:val="0"/>
          <w:marRight w:val="0"/>
          <w:marTop w:val="0"/>
          <w:marBottom w:val="0"/>
          <w:divBdr>
            <w:top w:val="none" w:sz="0" w:space="0" w:color="auto"/>
            <w:left w:val="none" w:sz="0" w:space="0" w:color="auto"/>
            <w:bottom w:val="none" w:sz="0" w:space="0" w:color="auto"/>
            <w:right w:val="none" w:sz="0" w:space="0" w:color="auto"/>
          </w:divBdr>
          <w:divsChild>
            <w:div w:id="1014459801">
              <w:marLeft w:val="0"/>
              <w:marRight w:val="0"/>
              <w:marTop w:val="0"/>
              <w:marBottom w:val="0"/>
              <w:divBdr>
                <w:top w:val="none" w:sz="0" w:space="0" w:color="auto"/>
                <w:left w:val="none" w:sz="0" w:space="0" w:color="auto"/>
                <w:bottom w:val="none" w:sz="0" w:space="0" w:color="auto"/>
                <w:right w:val="none" w:sz="0" w:space="0" w:color="auto"/>
              </w:divBdr>
            </w:div>
          </w:divsChild>
        </w:div>
        <w:div w:id="2140875384">
          <w:marLeft w:val="0"/>
          <w:marRight w:val="0"/>
          <w:marTop w:val="150"/>
          <w:marBottom w:val="150"/>
          <w:divBdr>
            <w:top w:val="none" w:sz="0" w:space="0" w:color="auto"/>
            <w:left w:val="none" w:sz="0" w:space="0" w:color="auto"/>
            <w:bottom w:val="single" w:sz="12" w:space="8" w:color="CCCCCC"/>
            <w:right w:val="none" w:sz="0" w:space="0" w:color="auto"/>
          </w:divBdr>
          <w:divsChild>
            <w:div w:id="785779579">
              <w:marLeft w:val="0"/>
              <w:marRight w:val="0"/>
              <w:marTop w:val="0"/>
              <w:marBottom w:val="0"/>
              <w:divBdr>
                <w:top w:val="none" w:sz="0" w:space="0" w:color="auto"/>
                <w:left w:val="none" w:sz="0" w:space="0" w:color="auto"/>
                <w:bottom w:val="none" w:sz="0" w:space="0" w:color="auto"/>
                <w:right w:val="none" w:sz="0" w:space="0" w:color="auto"/>
              </w:divBdr>
              <w:divsChild>
                <w:div w:id="2629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9158">
          <w:marLeft w:val="0"/>
          <w:marRight w:val="0"/>
          <w:marTop w:val="0"/>
          <w:marBottom w:val="0"/>
          <w:divBdr>
            <w:top w:val="none" w:sz="0" w:space="0" w:color="auto"/>
            <w:left w:val="none" w:sz="0" w:space="0" w:color="auto"/>
            <w:bottom w:val="none" w:sz="0" w:space="0" w:color="auto"/>
            <w:right w:val="none" w:sz="0" w:space="0" w:color="auto"/>
          </w:divBdr>
          <w:divsChild>
            <w:div w:id="1412846396">
              <w:marLeft w:val="0"/>
              <w:marRight w:val="0"/>
              <w:marTop w:val="0"/>
              <w:marBottom w:val="0"/>
              <w:divBdr>
                <w:top w:val="none" w:sz="0" w:space="0" w:color="auto"/>
                <w:left w:val="none" w:sz="0" w:space="0" w:color="auto"/>
                <w:bottom w:val="none" w:sz="0" w:space="0" w:color="auto"/>
                <w:right w:val="none" w:sz="0" w:space="0" w:color="auto"/>
              </w:divBdr>
            </w:div>
          </w:divsChild>
        </w:div>
        <w:div w:id="506167084">
          <w:marLeft w:val="0"/>
          <w:marRight w:val="0"/>
          <w:marTop w:val="0"/>
          <w:marBottom w:val="0"/>
          <w:divBdr>
            <w:top w:val="none" w:sz="0" w:space="0" w:color="auto"/>
            <w:left w:val="none" w:sz="0" w:space="0" w:color="auto"/>
            <w:bottom w:val="none" w:sz="0" w:space="0" w:color="auto"/>
            <w:right w:val="none" w:sz="0" w:space="0" w:color="auto"/>
          </w:divBdr>
          <w:divsChild>
            <w:div w:id="382752691">
              <w:marLeft w:val="0"/>
              <w:marRight w:val="0"/>
              <w:marTop w:val="0"/>
              <w:marBottom w:val="0"/>
              <w:divBdr>
                <w:top w:val="none" w:sz="0" w:space="0" w:color="auto"/>
                <w:left w:val="none" w:sz="0" w:space="0" w:color="auto"/>
                <w:bottom w:val="none" w:sz="0" w:space="0" w:color="auto"/>
                <w:right w:val="none" w:sz="0" w:space="0" w:color="auto"/>
              </w:divBdr>
              <w:divsChild>
                <w:div w:id="5642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841">
          <w:marLeft w:val="0"/>
          <w:marRight w:val="0"/>
          <w:marTop w:val="0"/>
          <w:marBottom w:val="225"/>
          <w:divBdr>
            <w:top w:val="none" w:sz="0" w:space="0" w:color="auto"/>
            <w:left w:val="none" w:sz="0" w:space="0" w:color="auto"/>
            <w:bottom w:val="none" w:sz="0" w:space="0" w:color="auto"/>
            <w:right w:val="none" w:sz="0" w:space="0" w:color="auto"/>
          </w:divBdr>
          <w:divsChild>
            <w:div w:id="504250713">
              <w:marLeft w:val="0"/>
              <w:marRight w:val="0"/>
              <w:marTop w:val="0"/>
              <w:marBottom w:val="0"/>
              <w:divBdr>
                <w:top w:val="none" w:sz="0" w:space="0" w:color="auto"/>
                <w:left w:val="none" w:sz="0" w:space="0" w:color="auto"/>
                <w:bottom w:val="none" w:sz="0" w:space="0" w:color="auto"/>
                <w:right w:val="none" w:sz="0" w:space="0" w:color="auto"/>
              </w:divBdr>
              <w:divsChild>
                <w:div w:id="1271469812">
                  <w:marLeft w:val="0"/>
                  <w:marRight w:val="0"/>
                  <w:marTop w:val="0"/>
                  <w:marBottom w:val="0"/>
                  <w:divBdr>
                    <w:top w:val="none" w:sz="0" w:space="0" w:color="auto"/>
                    <w:left w:val="none" w:sz="0" w:space="0" w:color="auto"/>
                    <w:bottom w:val="none" w:sz="0" w:space="0" w:color="auto"/>
                    <w:right w:val="none" w:sz="0" w:space="0" w:color="auto"/>
                  </w:divBdr>
                  <w:divsChild>
                    <w:div w:id="1177381420">
                      <w:marLeft w:val="0"/>
                      <w:marRight w:val="0"/>
                      <w:marTop w:val="0"/>
                      <w:marBottom w:val="0"/>
                      <w:divBdr>
                        <w:top w:val="none" w:sz="0" w:space="0" w:color="auto"/>
                        <w:left w:val="none" w:sz="0" w:space="0" w:color="auto"/>
                        <w:bottom w:val="none" w:sz="0" w:space="0" w:color="auto"/>
                        <w:right w:val="none" w:sz="0" w:space="0" w:color="auto"/>
                      </w:divBdr>
                      <w:divsChild>
                        <w:div w:id="17019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qpmag.com/us-microbics-unveils-solution-mtbe-contamin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void(0);" TargetMode="External"/><Relationship Id="rId12" Type="http://schemas.openxmlformats.org/officeDocument/2006/relationships/hyperlink" Target="http://www.wqpmag.com/mtbe-removal-activated-carb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qpmag.com/print/13705" TargetMode="External"/><Relationship Id="rId11" Type="http://schemas.openxmlformats.org/officeDocument/2006/relationships/hyperlink" Target="http://www.wqpmag.com/ozone-eliminates-stinky-problem" TargetMode="External"/><Relationship Id="rId5" Type="http://schemas.openxmlformats.org/officeDocument/2006/relationships/webSettings" Target="webSettings.xml"/><Relationship Id="rId10" Type="http://schemas.openxmlformats.org/officeDocument/2006/relationships/hyperlink" Target="http://www.wqpmag.com/water-utilities-congress-dont-let-water-polluters-hook" TargetMode="External"/><Relationship Id="rId4" Type="http://schemas.openxmlformats.org/officeDocument/2006/relationships/settings" Target="settings.xml"/><Relationship Id="rId9" Type="http://schemas.openxmlformats.org/officeDocument/2006/relationships/hyperlink" Target="http://www.wqpmag.com/qa-make-no-mistake-industry-won%E2%80%99t-wait-mtbe-cle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melianne1</dc:creator>
  <cp:lastModifiedBy>melianne1</cp:lastModifiedBy>
  <cp:revision>2</cp:revision>
  <dcterms:created xsi:type="dcterms:W3CDTF">2015-09-11T14:52:00Z</dcterms:created>
  <dcterms:modified xsi:type="dcterms:W3CDTF">2015-09-11T14:52:00Z</dcterms:modified>
</cp:coreProperties>
</file>